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68" w:rsidRDefault="00483468">
      <w:pPr>
        <w:jc w:val="center"/>
        <w:rPr>
          <w:b/>
          <w:sz w:val="28"/>
          <w:szCs w:val="28"/>
        </w:rPr>
      </w:pPr>
    </w:p>
    <w:p w:rsidR="00483468" w:rsidRDefault="008E4B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193675" distB="390525" distL="193675" distR="390525" simplePos="0" relativeHeight="2" behindDoc="1" locked="0" layoutInCell="0" allowOverlap="1" wp14:anchorId="25655ADD">
                <wp:simplePos x="0" y="0"/>
                <wp:positionH relativeFrom="column">
                  <wp:posOffset>1464310</wp:posOffset>
                </wp:positionH>
                <wp:positionV relativeFrom="paragraph">
                  <wp:posOffset>5080</wp:posOffset>
                </wp:positionV>
                <wp:extent cx="2836545" cy="1264285"/>
                <wp:effectExtent l="193675" t="193675" r="390525" b="390525"/>
                <wp:wrapNone/>
                <wp:docPr id="1" name="Рисунок 7" descr="Описание: горы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Описание: горы34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836440" cy="126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291960" dist="138479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7" stroked="f" o:allowincell="f" style="position:absolute;margin-left:115.3pt;margin-top:0.4pt;width:223.3pt;height:99.5pt;mso-wrap-style:none;v-text-anchor:middle" wp14:anchorId="25655ADD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:rsidR="00483468" w:rsidRDefault="00483468">
      <w:pPr>
        <w:jc w:val="center"/>
        <w:rPr>
          <w:b/>
          <w:sz w:val="28"/>
          <w:szCs w:val="28"/>
        </w:rPr>
      </w:pPr>
    </w:p>
    <w:p w:rsidR="00483468" w:rsidRDefault="00483468">
      <w:pPr>
        <w:jc w:val="center"/>
        <w:rPr>
          <w:b/>
          <w:sz w:val="28"/>
          <w:szCs w:val="28"/>
        </w:rPr>
      </w:pPr>
    </w:p>
    <w:p w:rsidR="00483468" w:rsidRDefault="00483468">
      <w:pPr>
        <w:jc w:val="center"/>
        <w:rPr>
          <w:b/>
          <w:sz w:val="28"/>
          <w:szCs w:val="28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483468">
      <w:pPr>
        <w:jc w:val="center"/>
        <w:rPr>
          <w:b/>
          <w:sz w:val="36"/>
          <w:szCs w:val="36"/>
        </w:rPr>
      </w:pPr>
    </w:p>
    <w:p w:rsidR="00483468" w:rsidRDefault="008E4B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:rsidR="00483468" w:rsidRDefault="00483468">
      <w:pPr>
        <w:jc w:val="center"/>
        <w:rPr>
          <w:b/>
          <w:sz w:val="32"/>
          <w:szCs w:val="32"/>
        </w:rPr>
      </w:pPr>
    </w:p>
    <w:p w:rsidR="00483468" w:rsidRDefault="008E4B84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483468" w:rsidRDefault="008E4B84">
      <w:pPr>
        <w:tabs>
          <w:tab w:val="left" w:pos="3544"/>
        </w:tabs>
        <w:jc w:val="center"/>
      </w:pPr>
      <w:r>
        <w:rPr>
          <w:color w:val="000000"/>
          <w:sz w:val="28"/>
          <w:szCs w:val="28"/>
        </w:rPr>
        <w:t>МБДОУ ЦЕНТР РАЗВИТИЯ РЕБЕНКА-ДЕТСКИЙ САД № 1 АЛЕНУШКА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>услови</w:t>
      </w:r>
      <w:r>
        <w:rPr>
          <w:bCs/>
          <w:sz w:val="28"/>
          <w:szCs w:val="28"/>
        </w:rPr>
        <w:t xml:space="preserve">й осуществления образовательной деятельности </w:t>
      </w:r>
      <w:r>
        <w:rPr>
          <w:sz w:val="28"/>
          <w:szCs w:val="28"/>
        </w:rPr>
        <w:t>образовате</w:t>
      </w:r>
      <w:r>
        <w:rPr>
          <w:sz w:val="28"/>
          <w:szCs w:val="28"/>
        </w:rPr>
        <w:t>льными организациями, в отношении которых проводится независимая оценка</w:t>
      </w:r>
    </w:p>
    <w:p w:rsidR="00483468" w:rsidRDefault="00483468">
      <w:pPr>
        <w:spacing w:line="276" w:lineRule="auto"/>
        <w:jc w:val="center"/>
        <w:rPr>
          <w:sz w:val="28"/>
          <w:szCs w:val="28"/>
        </w:rPr>
      </w:pPr>
    </w:p>
    <w:p w:rsidR="00483468" w:rsidRDefault="00483468">
      <w:pPr>
        <w:spacing w:line="276" w:lineRule="auto"/>
        <w:jc w:val="center"/>
        <w:rPr>
          <w:sz w:val="28"/>
          <w:szCs w:val="28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483468" w:rsidRDefault="00483468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483468" w:rsidRDefault="008E4B84">
      <w:pPr>
        <w:widowControl w:val="0"/>
        <w:shd w:val="clear" w:color="auto" w:fill="FFFFFF"/>
        <w:tabs>
          <w:tab w:val="left" w:pos="0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                                                         г. Нефтекумск, 2024</w:t>
      </w:r>
    </w:p>
    <w:p w:rsidR="00483468" w:rsidRDefault="00483468">
      <w:pPr>
        <w:widowControl w:val="0"/>
        <w:shd w:val="clear" w:color="auto" w:fill="FFFFFF"/>
        <w:tabs>
          <w:tab w:val="left" w:pos="0"/>
        </w:tabs>
        <w:rPr>
          <w:bCs/>
          <w:spacing w:val="-7"/>
          <w:sz w:val="28"/>
          <w:szCs w:val="28"/>
        </w:rPr>
      </w:pPr>
    </w:p>
    <w:p w:rsidR="00483468" w:rsidRDefault="008E4B84">
      <w:pPr>
        <w:jc w:val="center"/>
      </w:pPr>
      <w:r>
        <w:rPr>
          <w:sz w:val="28"/>
          <w:szCs w:val="28"/>
        </w:rPr>
        <w:lastRenderedPageBreak/>
        <w:t>Аналитический отчет</w:t>
      </w:r>
    </w:p>
    <w:p w:rsidR="00483468" w:rsidRDefault="008E4B84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483468" w:rsidRDefault="008E4B84">
      <w:pPr>
        <w:tabs>
          <w:tab w:val="left" w:pos="3544"/>
        </w:tabs>
        <w:jc w:val="center"/>
      </w:pPr>
      <w:r>
        <w:rPr>
          <w:bCs/>
          <w:color w:val="000000"/>
          <w:sz w:val="28"/>
          <w:szCs w:val="28"/>
        </w:rPr>
        <w:t>МБДОУ ЦЕНТР РАЗВИТИЯ РЕБЕНКА-ДЕТСКИЙ САД № 1 АЛЕНУШКА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sz w:val="28"/>
          <w:szCs w:val="28"/>
        </w:rPr>
        <w:t>Нефтекумского муниципал</w:t>
      </w:r>
      <w:r>
        <w:rPr>
          <w:bCs/>
          <w:sz w:val="28"/>
          <w:szCs w:val="28"/>
        </w:rPr>
        <w:t xml:space="preserve">ьного округа Ставропольского края </w:t>
      </w:r>
      <w:r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483468" w:rsidRDefault="00483468">
      <w:pPr>
        <w:spacing w:line="276" w:lineRule="auto"/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horzAnchor="margin" w:tblpY="149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8346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83468" w:rsidRDefault="008E4B84">
            <w:pPr>
              <w:widowControl w:val="0"/>
              <w:spacing w:line="276" w:lineRule="auto"/>
            </w:pPr>
            <w:r>
              <w:rPr>
                <w:sz w:val="28"/>
                <w:szCs w:val="28"/>
              </w:rPr>
              <w:t xml:space="preserve">г. Нефтекумск                                      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483468" w:rsidRDefault="008E4B84">
            <w:pPr>
              <w:widowControl w:val="0"/>
              <w:spacing w:line="276" w:lineRule="auto"/>
              <w:ind w:left="360"/>
            </w:pPr>
            <w:r>
              <w:rPr>
                <w:sz w:val="28"/>
                <w:szCs w:val="28"/>
              </w:rPr>
              <w:t xml:space="preserve">                             18 октября 2024 г.</w:t>
            </w:r>
          </w:p>
        </w:tc>
      </w:tr>
    </w:tbl>
    <w:p w:rsidR="00483468" w:rsidRDefault="008E4B84">
      <w:pPr>
        <w:widowControl w:val="0"/>
        <w:shd w:val="clear" w:color="auto" w:fill="FFFFFF"/>
        <w:tabs>
          <w:tab w:val="left" w:pos="0"/>
        </w:tabs>
        <w:jc w:val="both"/>
      </w:pPr>
      <w:r>
        <w:rPr>
          <w:sz w:val="28"/>
          <w:szCs w:val="28"/>
        </w:rPr>
        <w:tab/>
      </w:r>
    </w:p>
    <w:p w:rsidR="00483468" w:rsidRDefault="008E4B8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и обобщение информации о качестве условий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образовательной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ЦЕНТР РАЗВИТИЯ РЕБЕНКА-ДЕТСКИЙ САД № 1 АЛЕНУШКА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(далее – образовательная организация) </w:t>
      </w:r>
      <w:r>
        <w:rPr>
          <w:rFonts w:ascii="Times New Roman" w:hAnsi="Times New Roman" w:cs="Times New Roman"/>
          <w:sz w:val="28"/>
          <w:szCs w:val="28"/>
        </w:rPr>
        <w:t>осуществлено организацией-оператором – АН</w:t>
      </w:r>
      <w:r>
        <w:rPr>
          <w:rFonts w:ascii="Times New Roman" w:hAnsi="Times New Roman" w:cs="Times New Roman"/>
          <w:sz w:val="28"/>
          <w:szCs w:val="28"/>
        </w:rPr>
        <w:t>О «Северо-Кавказский центр профессио</w:t>
      </w:r>
      <w:r>
        <w:rPr>
          <w:rFonts w:ascii="Times New Roman" w:hAnsi="Times New Roman" w:cs="Times New Roman"/>
          <w:sz w:val="28"/>
          <w:szCs w:val="28"/>
        </w:rPr>
        <w:t>нально-общественной аккредитации» в соответствии со следующими нормативно-правовыми актами и методическими рекомендациями:</w:t>
      </w:r>
    </w:p>
    <w:p w:rsidR="00483468" w:rsidRDefault="008E4B8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Правительства Российской Федерации от 31 мая 2018 г. № 638 «Об утверждении Прави</w:t>
      </w:r>
      <w:r>
        <w:rPr>
          <w:rFonts w:ascii="Times New Roman" w:hAnsi="Times New Roman" w:cs="Times New Roman"/>
          <w:sz w:val="28"/>
          <w:szCs w:val="28"/>
        </w:rPr>
        <w:t>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483468" w:rsidRDefault="008E4B8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Минтруда России от 31 мая 2018 г. №</w:t>
      </w:r>
      <w:r>
        <w:rPr>
          <w:rFonts w:ascii="Times New Roman" w:hAnsi="Times New Roman" w:cs="Times New Roman"/>
          <w:sz w:val="28"/>
          <w:szCs w:val="28"/>
        </w:rPr>
        <w:t xml:space="preserve">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</w:t>
      </w:r>
      <w:r>
        <w:rPr>
          <w:rFonts w:ascii="Times New Roman" w:hAnsi="Times New Roman" w:cs="Times New Roman"/>
          <w:sz w:val="28"/>
          <w:szCs w:val="28"/>
        </w:rPr>
        <w:t>льной экспертизы».</w:t>
      </w:r>
    </w:p>
    <w:p w:rsidR="00483468" w:rsidRDefault="008E4B8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</w:t>
      </w:r>
      <w:r>
        <w:rPr>
          <w:rFonts w:ascii="Times New Roman" w:hAnsi="Times New Roman" w:cs="Times New Roman"/>
          <w:sz w:val="28"/>
          <w:szCs w:val="28"/>
        </w:rPr>
        <w:t>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</w:p>
    <w:p w:rsidR="00483468" w:rsidRDefault="008E4B8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рекомен</w:t>
      </w:r>
      <w:r>
        <w:rPr>
          <w:rFonts w:ascii="Times New Roman" w:hAnsi="Times New Roman" w:cs="Times New Roman"/>
          <w:sz w:val="28"/>
          <w:szCs w:val="28"/>
        </w:rPr>
        <w:t>дации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</w:t>
      </w:r>
      <w:r>
        <w:rPr>
          <w:rFonts w:ascii="Times New Roman" w:hAnsi="Times New Roman" w:cs="Times New Roman"/>
          <w:sz w:val="28"/>
          <w:szCs w:val="28"/>
        </w:rPr>
        <w:t>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особенностей). Общие исходные сведения об организации:</w:t>
      </w:r>
    </w:p>
    <w:p w:rsidR="00483468" w:rsidRDefault="008E4B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исходные сведения об организации:</w:t>
      </w:r>
    </w:p>
    <w:p w:rsidR="00483468" w:rsidRDefault="008E4B84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spacing w:beforeAutospacing="1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Наименов</w:t>
      </w:r>
      <w:r>
        <w:rPr>
          <w:b/>
          <w:sz w:val="28"/>
          <w:szCs w:val="28"/>
        </w:rPr>
        <w:t>ание организации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МБДОУ ЦЕНТР РАЗВИТИЯ РЕБЕНКА-ДЕТСКИЙ САД № 1 АЛЕНУШКА</w:t>
      </w:r>
    </w:p>
    <w:p w:rsidR="00483468" w:rsidRDefault="008E4B84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b/>
          <w:sz w:val="28"/>
          <w:szCs w:val="28"/>
        </w:rPr>
        <w:t>Юридический адрес организации: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356880, СТАВРОПОЛЬСКИЙ КРАЙ, Р-Н НЕФТЕКУМСКИЙ, Г НЕФТЕКУМСК, МКР. 0-Й, К. А, СТР. 20</w:t>
      </w:r>
      <w:r>
        <w:rPr>
          <w:b/>
          <w:sz w:val="28"/>
          <w:szCs w:val="28"/>
        </w:rPr>
        <w:t>.</w:t>
      </w:r>
    </w:p>
    <w:p w:rsidR="00483468" w:rsidRDefault="008E4B84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  <w:textAlignment w:val="top"/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12.09.2024 по 12.10.2024 гг. </w:t>
      </w:r>
    </w:p>
    <w:p w:rsidR="00483468" w:rsidRDefault="008E4B84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Дата визита представителей организации-оператора в организацию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30.09.2024</w:t>
      </w:r>
      <w:r>
        <w:rPr>
          <w:sz w:val="28"/>
          <w:szCs w:val="28"/>
        </w:rPr>
        <w:t xml:space="preserve"> г.</w:t>
      </w:r>
    </w:p>
    <w:p w:rsidR="00483468" w:rsidRDefault="008E4B84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 xml:space="preserve">Численность респондентов в образовательной организации 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86</w:t>
      </w:r>
      <w:r>
        <w:rPr>
          <w:sz w:val="28"/>
          <w:szCs w:val="28"/>
        </w:rPr>
        <w:t xml:space="preserve"> чел.</w:t>
      </w:r>
    </w:p>
    <w:p w:rsidR="00483468" w:rsidRDefault="00483468">
      <w:pPr>
        <w:pStyle w:val="af1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483468" w:rsidRDefault="008E4B8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</w:t>
      </w:r>
      <w:r>
        <w:rPr>
          <w:sz w:val="28"/>
          <w:szCs w:val="28"/>
        </w:rPr>
        <w:t xml:space="preserve">чества условий осуществления образовательной деятельности </w:t>
      </w:r>
      <w:r>
        <w:rPr>
          <w:color w:val="000000"/>
          <w:sz w:val="28"/>
          <w:szCs w:val="28"/>
        </w:rPr>
        <w:t>МБДОУ ЦЕНТР РАЗВИТИЯ РЕБЕНКА-ДЕТСКИЙ САД № 1 АЛЕНУШКА</w:t>
      </w:r>
      <w:r>
        <w:rPr>
          <w:color w:val="000000"/>
          <w:sz w:val="28"/>
          <w:szCs w:val="28"/>
        </w:rPr>
        <w:t xml:space="preserve"> </w:t>
      </w:r>
    </w:p>
    <w:p w:rsidR="00483468" w:rsidRDefault="00483468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4"/>
        <w:tblW w:w="9776" w:type="dxa"/>
        <w:tblLayout w:type="fixed"/>
        <w:tblLook w:val="04A0" w:firstRow="1" w:lastRow="0" w:firstColumn="1" w:lastColumn="0" w:noHBand="0" w:noVBand="1"/>
      </w:tblPr>
      <w:tblGrid>
        <w:gridCol w:w="2676"/>
        <w:gridCol w:w="7100"/>
      </w:tblGrid>
      <w:tr w:rsidR="00483468">
        <w:tc>
          <w:tcPr>
            <w:tcW w:w="2676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both"/>
            </w:pPr>
            <w:r>
              <w:t>Критерий 1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Открытость и доступность информации об организации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8E4B84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Пок. 1.3.</w:t>
            </w: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Удовлетворенность получателей услуг открытостью и доступностью информации об образовательной организации 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483468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</w:pPr>
            <w:r>
              <w:rPr>
                <w:sz w:val="22"/>
              </w:rPr>
              <w:t>Рекомендации респондентов:</w:t>
            </w:r>
          </w:p>
          <w:p w:rsidR="00483468" w:rsidRDefault="008E4B84">
            <w:pPr>
              <w:widowControl w:val="0"/>
              <w:jc w:val="both"/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483468">
        <w:tc>
          <w:tcPr>
            <w:tcW w:w="2676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Критерий 2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Комфортность условий предоставления услуг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8E4B84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Пок. 2.3.</w:t>
            </w: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Удовлетворенность комфортностью</w:t>
            </w:r>
            <w:r>
              <w:rPr>
                <w:i/>
                <w:iCs/>
              </w:rPr>
              <w:t xml:space="preserve"> условий предоставления услуг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483468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</w:pPr>
            <w:r>
              <w:t>Рекомендации респондентов:</w:t>
            </w:r>
          </w:p>
          <w:p w:rsidR="00483468" w:rsidRDefault="008E4B84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483468">
        <w:tc>
          <w:tcPr>
            <w:tcW w:w="2676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Критерий 3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Доступность услуг для инвалидов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8E4B84">
            <w:pPr>
              <w:widowControl w:val="0"/>
              <w:jc w:val="both"/>
            </w:pPr>
            <w:r>
              <w:t>Пок. 3.2.</w:t>
            </w: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  <w:jc w:val="both"/>
            </w:pPr>
            <w: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  <w:r>
              <w:t>наравне с другими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483468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pStyle w:val="af1"/>
              <w:widowControl w:val="0"/>
              <w:numPr>
                <w:ilvl w:val="0"/>
                <w:numId w:val="3"/>
              </w:numPr>
              <w:ind w:left="397" w:hanging="340"/>
              <w:jc w:val="both"/>
            </w:pPr>
            <w:r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8E4B84">
            <w:pPr>
              <w:widowControl w:val="0"/>
              <w:jc w:val="both"/>
            </w:pPr>
            <w:r>
              <w:t>Пок. 3.3.</w:t>
            </w: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  <w:jc w:val="both"/>
            </w:pPr>
            <w:r>
              <w:t xml:space="preserve">Удовлетворенность </w:t>
            </w:r>
            <w:r>
              <w:t>качеством условий предоставления услуг для инвалидов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483468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</w:pPr>
            <w:r>
              <w:t>Рекомендации респондентов:</w:t>
            </w:r>
          </w:p>
          <w:p w:rsidR="00483468" w:rsidRDefault="008E4B84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483468">
        <w:tc>
          <w:tcPr>
            <w:tcW w:w="2676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Критерий 4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Доброжелательность, вежливость работников организации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483468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</w:pPr>
            <w:r>
              <w:t>Рекомендации респондентов:</w:t>
            </w:r>
          </w:p>
          <w:p w:rsidR="00483468" w:rsidRDefault="008E4B84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483468">
        <w:tc>
          <w:tcPr>
            <w:tcW w:w="2676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Критерий 5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483468" w:rsidRDefault="008E4B84">
            <w:pPr>
              <w:widowControl w:val="0"/>
              <w:jc w:val="center"/>
            </w:pPr>
            <w:r>
              <w:t>Удовлетворенность</w:t>
            </w:r>
            <w:r>
              <w:t xml:space="preserve"> условиями оказания услуг</w:t>
            </w:r>
          </w:p>
        </w:tc>
      </w:tr>
      <w:tr w:rsidR="00483468">
        <w:tc>
          <w:tcPr>
            <w:tcW w:w="2676" w:type="dxa"/>
            <w:shd w:val="clear" w:color="auto" w:fill="auto"/>
          </w:tcPr>
          <w:p w:rsidR="00483468" w:rsidRDefault="00483468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483468" w:rsidRDefault="008E4B84">
            <w:pPr>
              <w:widowControl w:val="0"/>
            </w:pPr>
            <w:r>
              <w:t>Рекомендации респондентов:</w:t>
            </w:r>
          </w:p>
          <w:p w:rsidR="00483468" w:rsidRDefault="008E4B84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</w:tbl>
    <w:p w:rsidR="00483468" w:rsidRDefault="00483468">
      <w:pPr>
        <w:pStyle w:val="af1"/>
        <w:ind w:left="709"/>
        <w:jc w:val="both"/>
        <w:rPr>
          <w:sz w:val="28"/>
          <w:szCs w:val="28"/>
        </w:rPr>
      </w:pPr>
    </w:p>
    <w:p w:rsidR="00483468" w:rsidRDefault="008E4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Интегральное з</w:t>
      </w:r>
      <w:r>
        <w:rPr>
          <w:sz w:val="28"/>
          <w:szCs w:val="28"/>
          <w:u w:val="single"/>
        </w:rPr>
        <w:t>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>МБДОУ ЦЕНТР РАЗВИТИЯ РЕБЕНКА-ДЕТСКИЙ САД № 1 АЛЕНУШКА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составило </w:t>
      </w:r>
      <w:r>
        <w:rPr>
          <w:b/>
          <w:bCs/>
          <w:color w:val="000000"/>
          <w:sz w:val="28"/>
          <w:szCs w:val="28"/>
        </w:rPr>
        <w:t>96.58</w:t>
      </w:r>
      <w:r>
        <w:rPr>
          <w:b/>
          <w:color w:val="000000" w:themeColor="text1"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. Детализация показателей общих критериев, участвующих в формировании интегрального значения </w:t>
      </w:r>
      <w:r>
        <w:rPr>
          <w:sz w:val="28"/>
          <w:szCs w:val="28"/>
        </w:rPr>
        <w:t>приведена в Приложении №1.</w:t>
      </w:r>
    </w:p>
    <w:p w:rsidR="00483468" w:rsidRDefault="008E4B8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Сведения, полученные по итогам реализации дистанционного и очного этапов сбора и обобщения информации о качестве условий осуществления</w:t>
      </w:r>
      <w:r>
        <w:rPr>
          <w:sz w:val="28"/>
          <w:szCs w:val="28"/>
        </w:rPr>
        <w:t xml:space="preserve"> образовательной деятельности в соответствии с показателями, характеризующими общие критерии оценки качества условий осуществления образовательной деятельности образовательными организациями, в отношении которых проводится независимая оценка, подлежат пере</w:t>
      </w:r>
      <w:r>
        <w:rPr>
          <w:sz w:val="28"/>
          <w:szCs w:val="28"/>
        </w:rPr>
        <w:t>даче в  Общественный совет Нефтекумского муниципального округа Ставропольского края по проведению независимой оценки качества условий осуществления образовательной деятельности муниципальными образовательными организациями и иными организациями, осуществля</w:t>
      </w:r>
      <w:r>
        <w:rPr>
          <w:sz w:val="28"/>
          <w:szCs w:val="28"/>
        </w:rPr>
        <w:t>ющими образовательную деятельность за счет бюджетных ассигнований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организацией.</w:t>
      </w:r>
    </w:p>
    <w:p w:rsidR="00483468" w:rsidRDefault="00483468">
      <w:pPr>
        <w:ind w:firstLine="709"/>
        <w:jc w:val="both"/>
        <w:rPr>
          <w:b/>
          <w:sz w:val="28"/>
          <w:szCs w:val="28"/>
        </w:rPr>
      </w:pPr>
    </w:p>
    <w:p w:rsidR="00483468" w:rsidRDefault="008E4B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Е.С. Квасова</w:t>
      </w:r>
    </w:p>
    <w:p w:rsidR="00483468" w:rsidRDefault="00483468">
      <w:pPr>
        <w:rPr>
          <w:sz w:val="28"/>
          <w:szCs w:val="28"/>
        </w:rPr>
      </w:pPr>
    </w:p>
    <w:sectPr w:rsidR="00483468">
      <w:headerReference w:type="default" r:id="rId10"/>
      <w:pgSz w:w="11906" w:h="16838"/>
      <w:pgMar w:top="1135" w:right="566" w:bottom="993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84" w:rsidRDefault="008E4B84">
      <w:r>
        <w:separator/>
      </w:r>
    </w:p>
  </w:endnote>
  <w:endnote w:type="continuationSeparator" w:id="0">
    <w:p w:rsidR="008E4B84" w:rsidRDefault="008E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84" w:rsidRDefault="008E4B84">
      <w:r>
        <w:separator/>
      </w:r>
    </w:p>
  </w:footnote>
  <w:footnote w:type="continuationSeparator" w:id="0">
    <w:p w:rsidR="008E4B84" w:rsidRDefault="008E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69232"/>
      <w:docPartObj>
        <w:docPartGallery w:val="Page Numbers (Top of Page)"/>
        <w:docPartUnique/>
      </w:docPartObj>
    </w:sdtPr>
    <w:sdtEndPr/>
    <w:sdtContent>
      <w:p w:rsidR="00483468" w:rsidRDefault="008E4B84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58CD">
          <w:rPr>
            <w:noProof/>
          </w:rPr>
          <w:t>3</w:t>
        </w:r>
        <w:r>
          <w:fldChar w:fldCharType="end"/>
        </w:r>
      </w:p>
    </w:sdtContent>
  </w:sdt>
  <w:p w:rsidR="00483468" w:rsidRDefault="008E4B84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A99"/>
    <w:multiLevelType w:val="multilevel"/>
    <w:tmpl w:val="943E9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877D8C"/>
    <w:multiLevelType w:val="multilevel"/>
    <w:tmpl w:val="71564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FC2CF0"/>
    <w:multiLevelType w:val="multilevel"/>
    <w:tmpl w:val="58869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abstractNum w:abstractNumId="3" w15:restartNumberingAfterBreak="0">
    <w:nsid w:val="537D36A8"/>
    <w:multiLevelType w:val="multilevel"/>
    <w:tmpl w:val="161813E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8"/>
    <w:rsid w:val="00483468"/>
    <w:rsid w:val="008458CD"/>
    <w:rsid w:val="008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AFDF-1392-44EE-8C9F-DF6066E0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1BA"/>
  </w:style>
  <w:style w:type="character" w:customStyle="1" w:styleId="a5">
    <w:name w:val="Нижний колонтитул Знак"/>
    <w:basedOn w:val="a0"/>
    <w:link w:val="a6"/>
    <w:uiPriority w:val="99"/>
    <w:qFormat/>
    <w:rsid w:val="008B31BA"/>
  </w:style>
  <w:style w:type="character" w:customStyle="1" w:styleId="-">
    <w:name w:val="Интернет-ссылка"/>
    <w:basedOn w:val="a0"/>
    <w:uiPriority w:val="99"/>
    <w:unhideWhenUsed/>
    <w:rsid w:val="00EB4910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qFormat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6DDE"/>
    <w:rPr>
      <w:b/>
      <w:bCs/>
    </w:rPr>
  </w:style>
  <w:style w:type="character" w:styleId="aa">
    <w:name w:val="Emphasis"/>
    <w:basedOn w:val="a0"/>
    <w:uiPriority w:val="20"/>
    <w:qFormat/>
    <w:rsid w:val="00525EF1"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rsid w:val="001045A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8">
    <w:name w:val="Balloon Text"/>
    <w:basedOn w:val="a"/>
    <w:link w:val="a7"/>
    <w:uiPriority w:val="99"/>
    <w:semiHidden/>
    <w:unhideWhenUsed/>
    <w:qFormat/>
    <w:rsid w:val="00F97998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525EF1"/>
    <w:pPr>
      <w:spacing w:beforeAutospacing="1" w:afterAutospacing="1"/>
    </w:pPr>
  </w:style>
  <w:style w:type="paragraph" w:styleId="af3">
    <w:name w:val="No Spacing"/>
    <w:uiPriority w:val="1"/>
    <w:qFormat/>
    <w:rsid w:val="00332752"/>
    <w:rPr>
      <w:rFonts w:ascii="Calibri" w:eastAsiaTheme="minorEastAsia" w:hAnsi="Calibri"/>
      <w:lang w:eastAsia="ru-RU"/>
    </w:rPr>
  </w:style>
  <w:style w:type="numbering" w:customStyle="1" w:styleId="61">
    <w:name w:val="Стиль61"/>
    <w:uiPriority w:val="99"/>
    <w:qFormat/>
    <w:rsid w:val="00F06582"/>
  </w:style>
  <w:style w:type="table" w:styleId="af4">
    <w:name w:val="Table Grid"/>
    <w:basedOn w:val="a1"/>
    <w:uiPriority w:val="39"/>
    <w:rsid w:val="00D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C53C-8CDB-487D-9CED-EE82B45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7</cp:revision>
  <cp:lastPrinted>2019-07-05T21:28:00Z</cp:lastPrinted>
  <dcterms:created xsi:type="dcterms:W3CDTF">2021-04-04T22:46:00Z</dcterms:created>
  <dcterms:modified xsi:type="dcterms:W3CDTF">2024-10-18T14:29:00Z</dcterms:modified>
  <dc:language>ru-RU</dc:language>
</cp:coreProperties>
</file>